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1D1F9" w14:textId="77777777" w:rsidR="00DA31CA" w:rsidRPr="002C1173" w:rsidRDefault="00DA31CA" w:rsidP="002C1173">
      <w:pPr>
        <w:tabs>
          <w:tab w:val="left" w:pos="0"/>
        </w:tabs>
        <w:spacing w:after="0"/>
        <w:ind w:right="-567" w:firstLine="467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C1173">
        <w:rPr>
          <w:rFonts w:ascii="Times New Roman" w:hAnsi="Times New Roman" w:cs="Times New Roman"/>
          <w:sz w:val="24"/>
          <w:szCs w:val="24"/>
          <w:lang w:val="ru-RU"/>
        </w:rPr>
        <w:t>Нольдт</w:t>
      </w:r>
      <w:proofErr w:type="spellEnd"/>
      <w:r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Ирина </w:t>
      </w:r>
    </w:p>
    <w:p w14:paraId="18511E44" w14:textId="77777777" w:rsidR="00DA31CA" w:rsidRPr="002C1173" w:rsidRDefault="00DA31CA" w:rsidP="002C1173">
      <w:pPr>
        <w:tabs>
          <w:tab w:val="left" w:pos="0"/>
        </w:tabs>
        <w:spacing w:after="0"/>
        <w:ind w:right="-567" w:firstLine="467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>435.179. Аватаресса ИВО Энергопотенциала</w:t>
      </w:r>
    </w:p>
    <w:p w14:paraId="7B02E440" w14:textId="77777777" w:rsidR="00DA31CA" w:rsidRPr="002C1173" w:rsidRDefault="00DA31CA" w:rsidP="002C1173">
      <w:pPr>
        <w:tabs>
          <w:tab w:val="left" w:pos="0"/>
        </w:tabs>
        <w:spacing w:after="0"/>
        <w:ind w:right="-567" w:firstLine="467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>Отец-Человек-Субъекта ИВАС Александра</w:t>
      </w:r>
    </w:p>
    <w:p w14:paraId="38FB6B61" w14:textId="77777777" w:rsidR="00DA31CA" w:rsidRPr="002C1173" w:rsidRDefault="00DA31CA" w:rsidP="002C1173">
      <w:pPr>
        <w:tabs>
          <w:tab w:val="left" w:pos="0"/>
        </w:tabs>
        <w:spacing w:after="0"/>
        <w:ind w:right="-567" w:firstLine="467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ИВАС Кут Хуми, </w:t>
      </w:r>
    </w:p>
    <w:p w14:paraId="20533318" w14:textId="77777777" w:rsidR="00DA31CA" w:rsidRPr="002C1173" w:rsidRDefault="00DA31CA" w:rsidP="002C1173">
      <w:pPr>
        <w:tabs>
          <w:tab w:val="left" w:pos="0"/>
        </w:tabs>
        <w:spacing w:after="0"/>
        <w:ind w:right="-567" w:firstLine="467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>Глава Энергопотенциала подразделения ИВДИВО</w:t>
      </w:r>
    </w:p>
    <w:p w14:paraId="32DBE4CE" w14:textId="77777777" w:rsidR="00DA31CA" w:rsidRPr="002C1173" w:rsidRDefault="00D17241" w:rsidP="002C1173">
      <w:pPr>
        <w:tabs>
          <w:tab w:val="left" w:pos="0"/>
        </w:tabs>
        <w:spacing w:after="0"/>
        <w:ind w:right="-567" w:firstLine="467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>Оснабрюк</w:t>
      </w:r>
      <w:r w:rsidR="00AF6660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1173">
        <w:rPr>
          <w:rFonts w:ascii="Times New Roman" w:hAnsi="Times New Roman" w:cs="Times New Roman"/>
          <w:sz w:val="24"/>
          <w:szCs w:val="24"/>
          <w:lang w:val="ru-RU"/>
        </w:rPr>
        <w:t>Германия</w:t>
      </w:r>
      <w:r w:rsidR="00DA31CA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E57872" w14:textId="77777777" w:rsidR="00D17241" w:rsidRPr="002C1173" w:rsidRDefault="00D17241" w:rsidP="002C1173">
      <w:pPr>
        <w:tabs>
          <w:tab w:val="left" w:pos="0"/>
        </w:tabs>
        <w:spacing w:after="0"/>
        <w:ind w:right="-567" w:firstLine="467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>irina.noldt@web.de</w:t>
      </w:r>
      <w:r w:rsidR="00DA31CA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4A7D70" w14:textId="77777777" w:rsidR="00DA31CA" w:rsidRPr="002C1173" w:rsidRDefault="00DA31CA" w:rsidP="002C1173">
      <w:pPr>
        <w:tabs>
          <w:tab w:val="left" w:pos="0"/>
        </w:tabs>
        <w:spacing w:after="0"/>
        <w:ind w:right="-567" w:firstLine="4678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2BB0B3B" w14:textId="77777777" w:rsidR="005C227B" w:rsidRPr="002C1173" w:rsidRDefault="005C227B" w:rsidP="002C1173">
      <w:pPr>
        <w:tabs>
          <w:tab w:val="left" w:pos="0"/>
        </w:tabs>
        <w:ind w:righ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b/>
          <w:sz w:val="24"/>
          <w:szCs w:val="24"/>
          <w:lang w:val="ru-RU"/>
        </w:rPr>
        <w:t>Тезисы</w:t>
      </w:r>
    </w:p>
    <w:p w14:paraId="5CAA8C3B" w14:textId="77777777" w:rsidR="001B370A" w:rsidRPr="002C1173" w:rsidRDefault="001B370A" w:rsidP="002C1173">
      <w:pPr>
        <w:tabs>
          <w:tab w:val="left" w:pos="0"/>
        </w:tabs>
        <w:ind w:right="-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b/>
          <w:sz w:val="24"/>
          <w:szCs w:val="24"/>
          <w:lang w:val="ru-RU"/>
        </w:rPr>
        <w:t>Головерсум</w:t>
      </w:r>
    </w:p>
    <w:p w14:paraId="15D29D50" w14:textId="77777777" w:rsidR="00DA31CA" w:rsidRPr="002C1173" w:rsidRDefault="00DA31CA" w:rsidP="002C1173">
      <w:pPr>
        <w:tabs>
          <w:tab w:val="left" w:pos="0"/>
        </w:tabs>
        <w:ind w:right="-567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E9C36E" w14:textId="77777777" w:rsidR="001B370A" w:rsidRPr="002C1173" w:rsidRDefault="001B370A" w:rsidP="002C1173">
      <w:pPr>
        <w:tabs>
          <w:tab w:val="left" w:pos="0"/>
          <w:tab w:val="left" w:pos="567"/>
        </w:tabs>
        <w:ind w:righ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>Головерсум как Часть имеет строение в виде Сферы,</w:t>
      </w:r>
      <w:r w:rsidR="006653CE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117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653CE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653CE" w:rsidRPr="002C1173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057C97" w:rsidRPr="002C117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2C1173">
        <w:rPr>
          <w:rFonts w:ascii="Times New Roman" w:hAnsi="Times New Roman" w:cs="Times New Roman"/>
          <w:sz w:val="24"/>
          <w:szCs w:val="24"/>
          <w:lang w:val="ru-RU"/>
        </w:rPr>
        <w:t>же</w:t>
      </w:r>
      <w:proofErr w:type="gramEnd"/>
      <w:r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содержащая </w:t>
      </w:r>
      <w:r w:rsidR="006653CE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в себе </w:t>
      </w:r>
      <w:r w:rsidRPr="002C1173">
        <w:rPr>
          <w:rFonts w:ascii="Times New Roman" w:hAnsi="Times New Roman" w:cs="Times New Roman"/>
          <w:sz w:val="24"/>
          <w:szCs w:val="24"/>
          <w:lang w:val="ru-RU"/>
        </w:rPr>
        <w:t>множество слагаемых, так и сложенных</w:t>
      </w:r>
      <w:r w:rsidR="005C227B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голограмм и действующих картин.</w:t>
      </w:r>
    </w:p>
    <w:p w14:paraId="61FB23BB" w14:textId="77777777" w:rsidR="00D728C9" w:rsidRPr="002C1173" w:rsidRDefault="001B370A" w:rsidP="002C1173">
      <w:pPr>
        <w:tabs>
          <w:tab w:val="left" w:pos="0"/>
        </w:tabs>
        <w:ind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>Если в картинках нет ядер, Головерсум не работает. От центрального ядра части постоянно идёт импульс, который расходится по сети ядер. И эти картинки начинают действовать той записью информации, которая находится в ядрах. Это обеспечивает дееспособность Головерсума чётко и ясно воспринимая окружающее пространство</w:t>
      </w:r>
      <w:r w:rsidR="00D728C9" w:rsidRPr="002C1173">
        <w:rPr>
          <w:rFonts w:ascii="Times New Roman" w:hAnsi="Times New Roman" w:cs="Times New Roman"/>
          <w:sz w:val="24"/>
          <w:szCs w:val="24"/>
          <w:lang w:val="ru-RU"/>
        </w:rPr>
        <w:t>, его надо этому обучать и специально этому тренировать, особенно в залах</w:t>
      </w:r>
      <w:r w:rsidR="005C227B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ИВАС.</w:t>
      </w:r>
      <w:r w:rsidR="00D728C9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У умных людей Головерсум работает очень хорошо, так как в их части миллионы ядер, которые могут обрабатывать картинки-голограммы, чтобы ядра начали действовать, нужна внешняя применимость. Если Головерсум не пользоваться, ядра могут закрыться и </w:t>
      </w:r>
      <w:proofErr w:type="spellStart"/>
      <w:r w:rsidR="00D728C9" w:rsidRPr="002C1173">
        <w:rPr>
          <w:rFonts w:ascii="Times New Roman" w:hAnsi="Times New Roman" w:cs="Times New Roman"/>
          <w:sz w:val="24"/>
          <w:szCs w:val="24"/>
          <w:lang w:val="ru-RU"/>
        </w:rPr>
        <w:t>скомпактифицироваться</w:t>
      </w:r>
      <w:proofErr w:type="spellEnd"/>
      <w:r w:rsidR="00D728C9" w:rsidRPr="002C1173">
        <w:rPr>
          <w:rFonts w:ascii="Times New Roman" w:hAnsi="Times New Roman" w:cs="Times New Roman"/>
          <w:sz w:val="24"/>
          <w:szCs w:val="24"/>
          <w:lang w:val="ru-RU"/>
        </w:rPr>
        <w:t>. От того ка</w:t>
      </w:r>
      <w:r w:rsidR="006653CE" w:rsidRPr="002C1173">
        <w:rPr>
          <w:rFonts w:ascii="Times New Roman" w:hAnsi="Times New Roman" w:cs="Times New Roman"/>
          <w:sz w:val="24"/>
          <w:szCs w:val="24"/>
          <w:lang w:val="ru-RU"/>
        </w:rPr>
        <w:t>к мы вершим</w:t>
      </w:r>
      <w:r w:rsidR="00D728C9" w:rsidRPr="002C1173">
        <w:rPr>
          <w:rFonts w:ascii="Times New Roman" w:hAnsi="Times New Roman" w:cs="Times New Roman"/>
          <w:sz w:val="24"/>
          <w:szCs w:val="24"/>
          <w:lang w:val="ru-RU"/>
        </w:rPr>
        <w:t>, будут складываться ядра.</w:t>
      </w:r>
    </w:p>
    <w:p w14:paraId="7A96B5CA" w14:textId="77777777" w:rsidR="00F32465" w:rsidRPr="002C1173" w:rsidRDefault="00D728C9" w:rsidP="002C1173">
      <w:pPr>
        <w:tabs>
          <w:tab w:val="left" w:pos="0"/>
        </w:tabs>
        <w:ind w:righ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>Головерсум это развитый головной мозг</w:t>
      </w:r>
      <w:r w:rsidR="0090195A" w:rsidRPr="002C1173">
        <w:rPr>
          <w:rFonts w:ascii="Times New Roman" w:hAnsi="Times New Roman" w:cs="Times New Roman"/>
          <w:sz w:val="24"/>
          <w:szCs w:val="24"/>
          <w:lang w:val="ru-RU"/>
        </w:rPr>
        <w:t>. Без развитого головного мозга человек не умеет быстро ориентироваться на местности, исполнять сразу несколько задач одновременно. Мозг воспринимает окружающий мир эффектом голографии, голограмм, голографической реальности. Именно он даёт и формирует картину мира и разворачивает всю нашу деятельность.</w:t>
      </w:r>
    </w:p>
    <w:p w14:paraId="02C90611" w14:textId="77777777" w:rsidR="00274ED1" w:rsidRPr="002C1173" w:rsidRDefault="00F32465" w:rsidP="002C1173">
      <w:pPr>
        <w:tabs>
          <w:tab w:val="left" w:pos="0"/>
        </w:tabs>
        <w:ind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>Множество голографий, которые состыковывались между собой в одну картину, формируют голограмму. Из множества голограмм формируется Головерсум, который реализует нас во вне голографич</w:t>
      </w:r>
      <w:r w:rsidR="0035552C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еской картиной мира. Благодаря </w:t>
      </w:r>
      <w:proofErr w:type="spellStart"/>
      <w:r w:rsidR="0035552C" w:rsidRPr="002C1173">
        <w:rPr>
          <w:rFonts w:ascii="Times New Roman" w:hAnsi="Times New Roman" w:cs="Times New Roman"/>
          <w:sz w:val="24"/>
          <w:szCs w:val="24"/>
          <w:lang w:val="ru-RU"/>
        </w:rPr>
        <w:t>Головерсуму</w:t>
      </w:r>
      <w:proofErr w:type="spellEnd"/>
      <w:r w:rsidR="0035552C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1173">
        <w:rPr>
          <w:rFonts w:ascii="Times New Roman" w:hAnsi="Times New Roman" w:cs="Times New Roman"/>
          <w:sz w:val="24"/>
          <w:szCs w:val="24"/>
          <w:lang w:val="ru-RU"/>
        </w:rPr>
        <w:t>можно свободно видеть и воспринимать любой Архетип мат</w:t>
      </w:r>
      <w:r w:rsidR="0035552C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ерии, если есть эти голограммы. </w:t>
      </w:r>
      <w:r w:rsidRPr="002C1173">
        <w:rPr>
          <w:rFonts w:ascii="Times New Roman" w:hAnsi="Times New Roman" w:cs="Times New Roman"/>
          <w:sz w:val="24"/>
          <w:szCs w:val="24"/>
          <w:lang w:val="ru-RU"/>
        </w:rPr>
        <w:t>Главное для Головерсума-тренировать</w:t>
      </w:r>
      <w:r w:rsidR="0035552C" w:rsidRPr="002C1173">
        <w:rPr>
          <w:rFonts w:ascii="Times New Roman" w:hAnsi="Times New Roman" w:cs="Times New Roman"/>
          <w:sz w:val="24"/>
          <w:szCs w:val="24"/>
          <w:lang w:val="ru-RU"/>
        </w:rPr>
        <w:t>ся, выходить к Аватарам Синтеза</w:t>
      </w:r>
      <w:r w:rsidR="00274ED1" w:rsidRPr="002C117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5552C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4ED1" w:rsidRPr="002C1173">
        <w:rPr>
          <w:rFonts w:ascii="Times New Roman" w:hAnsi="Times New Roman" w:cs="Times New Roman"/>
          <w:sz w:val="24"/>
          <w:szCs w:val="24"/>
          <w:lang w:val="ru-RU"/>
        </w:rPr>
        <w:t>читать,</w:t>
      </w:r>
      <w:r w:rsidR="0035552C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4ED1" w:rsidRPr="002C1173">
        <w:rPr>
          <w:rFonts w:ascii="Times New Roman" w:hAnsi="Times New Roman" w:cs="Times New Roman"/>
          <w:sz w:val="24"/>
          <w:szCs w:val="24"/>
          <w:lang w:val="ru-RU"/>
        </w:rPr>
        <w:t>анализировать ситуацию.</w:t>
      </w:r>
    </w:p>
    <w:p w14:paraId="74FA5B11" w14:textId="77777777" w:rsidR="005C227B" w:rsidRPr="002C1173" w:rsidRDefault="00274ED1" w:rsidP="002C1173">
      <w:pPr>
        <w:tabs>
          <w:tab w:val="left" w:pos="0"/>
        </w:tabs>
        <w:ind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>Головерсум, как часть, преод</w:t>
      </w:r>
      <w:r w:rsidR="0035552C" w:rsidRPr="002C117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C1173">
        <w:rPr>
          <w:rFonts w:ascii="Times New Roman" w:hAnsi="Times New Roman" w:cs="Times New Roman"/>
          <w:sz w:val="24"/>
          <w:szCs w:val="24"/>
          <w:lang w:val="ru-RU"/>
        </w:rPr>
        <w:t>левает чувственные связи, выводит челов</w:t>
      </w:r>
      <w:r w:rsidR="00057C97" w:rsidRPr="002C1173">
        <w:rPr>
          <w:rFonts w:ascii="Times New Roman" w:hAnsi="Times New Roman" w:cs="Times New Roman"/>
          <w:sz w:val="24"/>
          <w:szCs w:val="24"/>
          <w:lang w:val="ru-RU"/>
        </w:rPr>
        <w:t>ека из эмоций, чувств его пере</w:t>
      </w:r>
      <w:r w:rsidRPr="002C1173">
        <w:rPr>
          <w:rFonts w:ascii="Times New Roman" w:hAnsi="Times New Roman" w:cs="Times New Roman"/>
          <w:sz w:val="24"/>
          <w:szCs w:val="24"/>
          <w:lang w:val="ru-RU"/>
        </w:rPr>
        <w:t>полняющих, переводя в</w:t>
      </w:r>
      <w:r w:rsidR="005C227B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 думанья, размышления.</w:t>
      </w:r>
    </w:p>
    <w:p w14:paraId="4384916A" w14:textId="77777777" w:rsidR="00AF6660" w:rsidRPr="002C1173" w:rsidRDefault="00274ED1" w:rsidP="002C1173">
      <w:pPr>
        <w:tabs>
          <w:tab w:val="left" w:pos="0"/>
        </w:tabs>
        <w:ind w:right="-567"/>
        <w:rPr>
          <w:rFonts w:ascii="Times New Roman" w:hAnsi="Times New Roman" w:cs="Times New Roman"/>
          <w:sz w:val="24"/>
          <w:szCs w:val="24"/>
          <w:lang w:val="ru-RU"/>
        </w:rPr>
      </w:pPr>
      <w:r w:rsidRPr="002C1173">
        <w:rPr>
          <w:rFonts w:ascii="Times New Roman" w:hAnsi="Times New Roman" w:cs="Times New Roman"/>
          <w:sz w:val="24"/>
          <w:szCs w:val="24"/>
          <w:lang w:val="ru-RU"/>
        </w:rPr>
        <w:t>На всё можно возжигаться частью и стяжать Огонь Вершения. Тогда наш выбор будет поддерживать ИВДИВО! И выбор будет иерархичен</w:t>
      </w:r>
      <w:r w:rsidR="00057C97" w:rsidRPr="002C1173">
        <w:rPr>
          <w:rFonts w:ascii="Times New Roman" w:hAnsi="Times New Roman" w:cs="Times New Roman"/>
          <w:sz w:val="24"/>
          <w:szCs w:val="24"/>
          <w:lang w:val="ru-RU"/>
        </w:rPr>
        <w:t>. Огонь Вершения</w:t>
      </w:r>
      <w:r w:rsidR="00271C71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фиксирует План Синтеза в материю. Он помогает увидеть и реализовать План Синтеза, определяя каким путём мы пойдём его вершить</w:t>
      </w:r>
      <w:r w:rsidR="005C227B" w:rsidRPr="002C1173">
        <w:rPr>
          <w:rFonts w:ascii="Times New Roman" w:hAnsi="Times New Roman" w:cs="Times New Roman"/>
          <w:sz w:val="24"/>
          <w:szCs w:val="24"/>
          <w:lang w:val="ru-RU"/>
        </w:rPr>
        <w:t>. Головерсум всегда живёт, здесь и сейчас, и он настраивается на стратегию будущего.</w:t>
      </w:r>
      <w:r w:rsidR="00F32465" w:rsidRPr="002C11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AF6660" w:rsidRPr="002C1173" w:rsidSect="002C1173">
      <w:pgSz w:w="11906" w:h="16838"/>
      <w:pgMar w:top="1418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60"/>
    <w:rsid w:val="00025F71"/>
    <w:rsid w:val="00057C97"/>
    <w:rsid w:val="0017414C"/>
    <w:rsid w:val="001B370A"/>
    <w:rsid w:val="00271C71"/>
    <w:rsid w:val="00274ED1"/>
    <w:rsid w:val="002C1173"/>
    <w:rsid w:val="0035552C"/>
    <w:rsid w:val="00481F75"/>
    <w:rsid w:val="005C227B"/>
    <w:rsid w:val="006653CE"/>
    <w:rsid w:val="0090195A"/>
    <w:rsid w:val="00AF6660"/>
    <w:rsid w:val="00D17241"/>
    <w:rsid w:val="00D728C9"/>
    <w:rsid w:val="00DA31CA"/>
    <w:rsid w:val="00F3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64E6"/>
  <w15:chartTrackingRefBased/>
  <w15:docId w15:val="{BC2E3146-BFEB-4CF8-8A77-79735287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4C"/>
    <w:rPr>
      <w:rFonts w:ascii="Segoe U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2C11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Вера Кишиневская</cp:lastModifiedBy>
  <cp:revision>2</cp:revision>
  <cp:lastPrinted>2024-03-03T21:49:00Z</cp:lastPrinted>
  <dcterms:created xsi:type="dcterms:W3CDTF">2024-04-27T21:25:00Z</dcterms:created>
  <dcterms:modified xsi:type="dcterms:W3CDTF">2024-04-27T21:25:00Z</dcterms:modified>
</cp:coreProperties>
</file>